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9F" w:rsidRDefault="0076219F" w:rsidP="0076219F">
      <w:pPr>
        <w:pStyle w:val="a3"/>
        <w:rPr>
          <w:rFonts w:ascii="Verdana" w:hAnsi="Verdana"/>
          <w:color w:val="000000"/>
          <w:sz w:val="19"/>
          <w:szCs w:val="19"/>
          <w:shd w:val="clear" w:color="auto" w:fill="E8E8E6"/>
        </w:rPr>
      </w:pPr>
      <w:bookmarkStart w:id="0" w:name="3."/>
      <w:r>
        <w:rPr>
          <w:rFonts w:ascii="Verdana" w:hAnsi="Verdana"/>
          <w:color w:val="000000"/>
          <w:sz w:val="19"/>
          <w:szCs w:val="19"/>
          <w:shd w:val="clear" w:color="auto" w:fill="E8E8E6"/>
        </w:rPr>
        <w:t xml:space="preserve">В соответствии с учебным планом (ФГОС ВПО 3-е поколение) по дисциплине "Теория учета и экономического анализа </w:t>
      </w:r>
      <w:proofErr w:type="spellStart"/>
      <w:r>
        <w:rPr>
          <w:rFonts w:ascii="Verdana" w:hAnsi="Verdana"/>
          <w:color w:val="000000"/>
          <w:sz w:val="19"/>
          <w:szCs w:val="19"/>
          <w:shd w:val="clear" w:color="auto" w:fill="E8E8E6"/>
        </w:rPr>
        <w:t>медиаорганизации</w:t>
      </w:r>
      <w:proofErr w:type="spellEnd"/>
      <w:r>
        <w:rPr>
          <w:rFonts w:ascii="Verdana" w:hAnsi="Verdana"/>
          <w:color w:val="000000"/>
          <w:sz w:val="19"/>
          <w:szCs w:val="19"/>
          <w:shd w:val="clear" w:color="auto" w:fill="E8E8E6"/>
        </w:rPr>
        <w:t>" бакалавры заочной формы обучения в 5 семестре выполняют контрольную и курсовую работу.</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Целью контрольной работы является закрепление и углубление теоретических знаний по дисциплине, умения пользоваться учебной литературой, грамотное изложение вопроса по существу и по стилю.</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Контрольная работа предусматривает 10 вариантов, бакалавр выбирает номер варианта в соответствии с последней цифрой номера зачетной книжки.</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В ходе выполнения контрольной работы бакалавры должны при помощи рекомендуемой литературы изучить теоретические основы экономического анализа.</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Основная часть контрольной работы состоит из двух разделов: теоретического и практического. Теоретический раздел контрольной работы состоит из двух подразделов, каждый из которых раскрывает теоретические основы экономического анализа в зависимости от варианта работы.</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Практический раздел контрольной работы состоит из трех подразделов, включающих по одной практической задаче.</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При выполнении отдельных задач следует приводить формулы расчета рассматриваемых показателей, выявлять влияние отдельных факторов на показатель и давать необходимые краткие пояснения.</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По материалам анализа бакалавр должен указать на имеющиеся внутрипроизводственные резервы, дать рекомендации по их использованию и сделать обоснованные аналитические выводы.</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Важным этапом выполнения контрольной работы является изучение рекомендованной литературы, самостоятельное и творческое изложение материала.</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В контрольной работе предусматривается наличие введения, где дается обоснование актуальности темы и определяется цель работы.</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В конце контрольной работы должно быть дано заключение, которое представляет собой краткий итог основных этапов исследования и формулировку важнейших практических предложений, содержащихся в работе.</w:t>
      </w:r>
    </w:p>
    <w:p w:rsidR="0076219F" w:rsidRDefault="0076219F" w:rsidP="0076219F">
      <w:pPr>
        <w:pStyle w:val="a3"/>
        <w:rPr>
          <w:rFonts w:ascii="Verdana" w:hAnsi="Verdana"/>
          <w:color w:val="000000"/>
          <w:sz w:val="19"/>
          <w:szCs w:val="19"/>
          <w:shd w:val="clear" w:color="auto" w:fill="E8E8E6"/>
        </w:rPr>
      </w:pPr>
      <w:r>
        <w:rPr>
          <w:rFonts w:ascii="Verdana" w:hAnsi="Verdana"/>
          <w:color w:val="000000"/>
          <w:sz w:val="19"/>
          <w:szCs w:val="19"/>
          <w:shd w:val="clear" w:color="auto" w:fill="E8E8E6"/>
        </w:rPr>
        <w:t>Работа завершается библиографическим списком и приложениями к работе.</w:t>
      </w:r>
    </w:p>
    <w:p w:rsidR="0076219F" w:rsidRPr="0076219F" w:rsidRDefault="0076219F" w:rsidP="0076219F">
      <w:pPr>
        <w:shd w:val="clear" w:color="auto" w:fill="F04571"/>
        <w:spacing w:after="0" w:line="240" w:lineRule="auto"/>
        <w:rPr>
          <w:rFonts w:ascii="Verdana" w:eastAsia="Times New Roman" w:hAnsi="Verdana" w:cs="Times New Roman"/>
          <w:b/>
          <w:bCs/>
          <w:color w:val="FFFFFF"/>
          <w:sz w:val="27"/>
          <w:szCs w:val="27"/>
          <w:lang w:eastAsia="ru-RU"/>
        </w:rPr>
      </w:pPr>
      <w:bookmarkStart w:id="1" w:name="3.4."/>
      <w:bookmarkStart w:id="2" w:name="i302"/>
      <w:bookmarkEnd w:id="0"/>
      <w:bookmarkEnd w:id="1"/>
      <w:bookmarkEnd w:id="2"/>
      <w:r w:rsidRPr="0076219F">
        <w:rPr>
          <w:rFonts w:ascii="Verdana" w:eastAsia="Times New Roman" w:hAnsi="Verdana" w:cs="Times New Roman"/>
          <w:b/>
          <w:bCs/>
          <w:color w:val="FFFFFF"/>
          <w:sz w:val="27"/>
          <w:szCs w:val="27"/>
          <w:lang w:eastAsia="ru-RU"/>
        </w:rPr>
        <w:t>3.5.</w:t>
      </w:r>
    </w:p>
    <w:p w:rsidR="0076219F" w:rsidRPr="0076219F" w:rsidRDefault="0076219F" w:rsidP="0076219F">
      <w:pPr>
        <w:shd w:val="clear" w:color="auto" w:fill="808080"/>
        <w:spacing w:after="75" w:line="240" w:lineRule="auto"/>
        <w:rPr>
          <w:rFonts w:ascii="Verdana" w:eastAsia="Times New Roman" w:hAnsi="Verdana" w:cs="Times New Roman"/>
          <w:b/>
          <w:bCs/>
          <w:color w:val="FFFFFF"/>
          <w:sz w:val="27"/>
          <w:szCs w:val="27"/>
          <w:lang w:eastAsia="ru-RU"/>
        </w:rPr>
      </w:pPr>
      <w:r w:rsidRPr="0076219F">
        <w:rPr>
          <w:rFonts w:ascii="Verdana" w:eastAsia="Times New Roman" w:hAnsi="Verdana" w:cs="Times New Roman"/>
          <w:b/>
          <w:bCs/>
          <w:color w:val="FFFFFF"/>
          <w:sz w:val="27"/>
          <w:szCs w:val="27"/>
          <w:lang w:eastAsia="ru-RU"/>
        </w:rPr>
        <w:t>Вариант 5</w:t>
      </w:r>
    </w:p>
    <w:p w:rsidR="0076219F" w:rsidRPr="0076219F" w:rsidRDefault="0076219F" w:rsidP="0076219F">
      <w:pPr>
        <w:spacing w:after="0" w:line="240" w:lineRule="auto"/>
        <w:rPr>
          <w:rFonts w:ascii="Verdana" w:eastAsia="Times New Roman" w:hAnsi="Verdana" w:cs="Times New Roman"/>
          <w:b/>
          <w:bCs/>
          <w:i/>
          <w:iCs/>
          <w:color w:val="000000"/>
          <w:sz w:val="23"/>
          <w:szCs w:val="23"/>
          <w:shd w:val="clear" w:color="auto" w:fill="E8E8E6"/>
          <w:lang w:eastAsia="ru-RU"/>
        </w:rPr>
      </w:pPr>
      <w:bookmarkStart w:id="3" w:name="3.5."/>
      <w:r w:rsidRPr="0076219F">
        <w:rPr>
          <w:rFonts w:ascii="Verdana" w:eastAsia="Times New Roman" w:hAnsi="Verdana" w:cs="Times New Roman"/>
          <w:b/>
          <w:bCs/>
          <w:i/>
          <w:iCs/>
          <w:color w:val="000000"/>
          <w:sz w:val="23"/>
          <w:szCs w:val="23"/>
          <w:shd w:val="clear" w:color="auto" w:fill="E8E8E6"/>
          <w:lang w:eastAsia="ru-RU"/>
        </w:rPr>
        <w:t>Теоретические вопросы</w:t>
      </w:r>
    </w:p>
    <w:p w:rsidR="0076219F" w:rsidRPr="0076219F" w:rsidRDefault="0076219F" w:rsidP="0076219F">
      <w:pPr>
        <w:numPr>
          <w:ilvl w:val="0"/>
          <w:numId w:val="1"/>
        </w:num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Роль экономического анализа в управлении организацией.</w:t>
      </w:r>
    </w:p>
    <w:p w:rsidR="0076219F" w:rsidRPr="0076219F" w:rsidRDefault="0076219F" w:rsidP="0076219F">
      <w:pPr>
        <w:numPr>
          <w:ilvl w:val="0"/>
          <w:numId w:val="1"/>
        </w:num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Оптимизационные экономико-математические методы экономического анализа.</w:t>
      </w:r>
    </w:p>
    <w:p w:rsidR="0076219F" w:rsidRPr="0076219F" w:rsidRDefault="0076219F" w:rsidP="0076219F">
      <w:pPr>
        <w:spacing w:after="0" w:line="240" w:lineRule="auto"/>
        <w:rPr>
          <w:rFonts w:ascii="Verdana" w:eastAsia="Times New Roman" w:hAnsi="Verdana" w:cs="Times New Roman"/>
          <w:b/>
          <w:bCs/>
          <w:i/>
          <w:iCs/>
          <w:color w:val="000000"/>
          <w:sz w:val="23"/>
          <w:szCs w:val="23"/>
          <w:shd w:val="clear" w:color="auto" w:fill="E8E8E6"/>
          <w:lang w:eastAsia="ru-RU"/>
        </w:rPr>
      </w:pPr>
      <w:r w:rsidRPr="0076219F">
        <w:rPr>
          <w:rFonts w:ascii="Verdana" w:eastAsia="Times New Roman" w:hAnsi="Verdana" w:cs="Times New Roman"/>
          <w:b/>
          <w:bCs/>
          <w:i/>
          <w:iCs/>
          <w:color w:val="000000"/>
          <w:sz w:val="23"/>
          <w:szCs w:val="23"/>
          <w:shd w:val="clear" w:color="auto" w:fill="E8E8E6"/>
          <w:lang w:eastAsia="ru-RU"/>
        </w:rPr>
        <w:t>Практические вопросы</w:t>
      </w:r>
    </w:p>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b/>
          <w:bCs/>
          <w:color w:val="0015AF"/>
          <w:sz w:val="19"/>
          <w:szCs w:val="19"/>
          <w:shd w:val="clear" w:color="auto" w:fill="E8E8E6"/>
          <w:lang w:eastAsia="ru-RU"/>
        </w:rPr>
        <w:t>Задача № 1</w:t>
      </w:r>
    </w:p>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Определить влияние на затраты на материалы изменения: объема выпуска продукции в натуральном выражении; норм расхода материалов и средней цены за единицу материалов способом цепных подстановок на основании следующих данных:</w:t>
      </w:r>
    </w:p>
    <w:tbl>
      <w:tblPr>
        <w:tblW w:w="113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56"/>
        <w:gridCol w:w="2692"/>
        <w:gridCol w:w="2722"/>
      </w:tblGrid>
      <w:tr w:rsidR="0076219F" w:rsidRPr="0076219F" w:rsidTr="0076219F">
        <w:trPr>
          <w:tblCellSpacing w:w="15"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before="100" w:beforeAutospacing="1" w:after="100" w:afterAutospacing="1"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lastRenderedPageBreak/>
              <w:t>Наименование показателя</w:t>
            </w:r>
          </w:p>
        </w:tc>
        <w:tc>
          <w:tcPr>
            <w:tcW w:w="265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Предыдущий</w:t>
            </w:r>
            <w:r w:rsidRPr="0076219F">
              <w:rPr>
                <w:rFonts w:ascii="Verdana" w:eastAsia="Times New Roman" w:hAnsi="Verdana" w:cs="Times New Roman"/>
                <w:b/>
                <w:bCs/>
                <w:sz w:val="20"/>
                <w:szCs w:val="20"/>
                <w:lang w:eastAsia="ru-RU"/>
              </w:rPr>
              <w:br/>
              <w:t>период</w:t>
            </w:r>
          </w:p>
        </w:tc>
        <w:tc>
          <w:tcPr>
            <w:tcW w:w="267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Отчетный</w:t>
            </w:r>
            <w:r w:rsidRPr="0076219F">
              <w:rPr>
                <w:rFonts w:ascii="Verdana" w:eastAsia="Times New Roman" w:hAnsi="Verdana" w:cs="Times New Roman"/>
                <w:b/>
                <w:bCs/>
                <w:sz w:val="20"/>
                <w:szCs w:val="20"/>
                <w:lang w:eastAsia="ru-RU"/>
              </w:rPr>
              <w:br/>
              <w:t>период</w:t>
            </w:r>
          </w:p>
        </w:tc>
      </w:tr>
      <w:tr w:rsidR="0076219F" w:rsidRPr="0076219F" w:rsidTr="0076219F">
        <w:trPr>
          <w:tblCellSpacing w:w="15"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Затраты на краску, руб.</w:t>
            </w:r>
          </w:p>
        </w:tc>
        <w:tc>
          <w:tcPr>
            <w:tcW w:w="265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315000</w:t>
            </w:r>
          </w:p>
        </w:tc>
        <w:tc>
          <w:tcPr>
            <w:tcW w:w="267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198000</w:t>
            </w:r>
          </w:p>
        </w:tc>
      </w:tr>
      <w:tr w:rsidR="0076219F" w:rsidRPr="0076219F" w:rsidTr="0076219F">
        <w:trPr>
          <w:tblCellSpacing w:w="15"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Выпуск печатной продукции, тыс. уч. </w:t>
            </w:r>
            <w:proofErr w:type="spellStart"/>
            <w:r w:rsidRPr="0076219F">
              <w:rPr>
                <w:rFonts w:ascii="Verdana" w:eastAsia="Times New Roman" w:hAnsi="Verdana" w:cs="Times New Roman"/>
                <w:sz w:val="20"/>
                <w:szCs w:val="20"/>
                <w:lang w:eastAsia="ru-RU"/>
              </w:rPr>
              <w:t>кр</w:t>
            </w:r>
            <w:proofErr w:type="spellEnd"/>
            <w:r w:rsidRPr="0076219F">
              <w:rPr>
                <w:rFonts w:ascii="Verdana" w:eastAsia="Times New Roman" w:hAnsi="Verdana" w:cs="Times New Roman"/>
                <w:sz w:val="20"/>
                <w:szCs w:val="20"/>
                <w:lang w:eastAsia="ru-RU"/>
              </w:rPr>
              <w:t>.-</w:t>
            </w:r>
            <w:proofErr w:type="spellStart"/>
            <w:r w:rsidRPr="0076219F">
              <w:rPr>
                <w:rFonts w:ascii="Verdana" w:eastAsia="Times New Roman" w:hAnsi="Verdana" w:cs="Times New Roman"/>
                <w:sz w:val="20"/>
                <w:szCs w:val="20"/>
                <w:lang w:eastAsia="ru-RU"/>
              </w:rPr>
              <w:t>отт</w:t>
            </w:r>
            <w:proofErr w:type="spellEnd"/>
            <w:r w:rsidRPr="0076219F">
              <w:rPr>
                <w:rFonts w:ascii="Verdana" w:eastAsia="Times New Roman" w:hAnsi="Verdana" w:cs="Times New Roman"/>
                <w:sz w:val="20"/>
                <w:szCs w:val="20"/>
                <w:lang w:eastAsia="ru-RU"/>
              </w:rPr>
              <w:t>.</w:t>
            </w:r>
          </w:p>
        </w:tc>
        <w:tc>
          <w:tcPr>
            <w:tcW w:w="265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10000</w:t>
            </w:r>
          </w:p>
        </w:tc>
        <w:tc>
          <w:tcPr>
            <w:tcW w:w="267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11000</w:t>
            </w:r>
          </w:p>
        </w:tc>
      </w:tr>
      <w:tr w:rsidR="0076219F" w:rsidRPr="0076219F" w:rsidTr="0076219F">
        <w:trPr>
          <w:tblCellSpacing w:w="15"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Норма расхода краски на 1 тыс. уч. </w:t>
            </w:r>
            <w:proofErr w:type="spellStart"/>
            <w:r w:rsidRPr="0076219F">
              <w:rPr>
                <w:rFonts w:ascii="Verdana" w:eastAsia="Times New Roman" w:hAnsi="Verdana" w:cs="Times New Roman"/>
                <w:sz w:val="20"/>
                <w:szCs w:val="20"/>
                <w:lang w:eastAsia="ru-RU"/>
              </w:rPr>
              <w:t>кр</w:t>
            </w:r>
            <w:proofErr w:type="spellEnd"/>
            <w:r w:rsidRPr="0076219F">
              <w:rPr>
                <w:rFonts w:ascii="Verdana" w:eastAsia="Times New Roman" w:hAnsi="Verdana" w:cs="Times New Roman"/>
                <w:sz w:val="20"/>
                <w:szCs w:val="20"/>
                <w:lang w:eastAsia="ru-RU"/>
              </w:rPr>
              <w:t>.-</w:t>
            </w:r>
            <w:proofErr w:type="spellStart"/>
            <w:r w:rsidRPr="0076219F">
              <w:rPr>
                <w:rFonts w:ascii="Verdana" w:eastAsia="Times New Roman" w:hAnsi="Verdana" w:cs="Times New Roman"/>
                <w:sz w:val="20"/>
                <w:szCs w:val="20"/>
                <w:lang w:eastAsia="ru-RU"/>
              </w:rPr>
              <w:t>отт</w:t>
            </w:r>
            <w:proofErr w:type="spellEnd"/>
            <w:r w:rsidRPr="0076219F">
              <w:rPr>
                <w:rFonts w:ascii="Verdana" w:eastAsia="Times New Roman" w:hAnsi="Verdana" w:cs="Times New Roman"/>
                <w:sz w:val="20"/>
                <w:szCs w:val="20"/>
                <w:lang w:eastAsia="ru-RU"/>
              </w:rPr>
              <w:t>., кг</w:t>
            </w:r>
          </w:p>
        </w:tc>
        <w:tc>
          <w:tcPr>
            <w:tcW w:w="265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0,09</w:t>
            </w:r>
          </w:p>
        </w:tc>
        <w:tc>
          <w:tcPr>
            <w:tcW w:w="267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0,06</w:t>
            </w:r>
          </w:p>
        </w:tc>
      </w:tr>
      <w:tr w:rsidR="0076219F" w:rsidRPr="0076219F" w:rsidTr="0076219F">
        <w:trPr>
          <w:tblCellSpacing w:w="15" w:type="dxa"/>
          <w:jc w:val="center"/>
        </w:trPr>
        <w:tc>
          <w:tcPr>
            <w:tcW w:w="589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Цена за 1 кг краски, руб.</w:t>
            </w:r>
          </w:p>
        </w:tc>
        <w:tc>
          <w:tcPr>
            <w:tcW w:w="265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350</w:t>
            </w:r>
          </w:p>
        </w:tc>
        <w:tc>
          <w:tcPr>
            <w:tcW w:w="267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300</w:t>
            </w:r>
          </w:p>
        </w:tc>
      </w:tr>
    </w:tbl>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По материалам анализа сделать соответствующие аналитические выводы.</w:t>
      </w:r>
    </w:p>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b/>
          <w:bCs/>
          <w:color w:val="0015AF"/>
          <w:sz w:val="19"/>
          <w:szCs w:val="19"/>
          <w:shd w:val="clear" w:color="auto" w:fill="E8E8E6"/>
          <w:lang w:eastAsia="ru-RU"/>
        </w:rPr>
        <w:t>Задача № 2</w:t>
      </w:r>
    </w:p>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Определить влияние на среднегодовую выработку одного работающего изменения: удельного веса рабочих в общей численности работающих; среднего числа дней, отработанных одним рабочим за год; средней продолжительности рабочего дня и среднечасовой выработки одного рабочего способом абсолютных разниц на основании следующих данных:</w:t>
      </w:r>
    </w:p>
    <w:tbl>
      <w:tblPr>
        <w:tblW w:w="113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14"/>
        <w:gridCol w:w="2163"/>
        <w:gridCol w:w="2193"/>
      </w:tblGrid>
      <w:tr w:rsidR="0076219F" w:rsidRPr="0076219F" w:rsidTr="0076219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before="100" w:beforeAutospacing="1" w:after="100" w:afterAutospacing="1"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Наименование показателя</w:t>
            </w:r>
          </w:p>
        </w:tc>
        <w:tc>
          <w:tcPr>
            <w:tcW w:w="213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Предыдущий</w:t>
            </w:r>
            <w:r w:rsidRPr="0076219F">
              <w:rPr>
                <w:rFonts w:ascii="Verdana" w:eastAsia="Times New Roman" w:hAnsi="Verdana" w:cs="Times New Roman"/>
                <w:b/>
                <w:bCs/>
                <w:sz w:val="20"/>
                <w:szCs w:val="20"/>
                <w:lang w:eastAsia="ru-RU"/>
              </w:rPr>
              <w:br/>
              <w:t>период</w:t>
            </w:r>
          </w:p>
        </w:tc>
        <w:tc>
          <w:tcPr>
            <w:tcW w:w="214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Отчетный</w:t>
            </w:r>
            <w:r w:rsidRPr="0076219F">
              <w:rPr>
                <w:rFonts w:ascii="Verdana" w:eastAsia="Times New Roman" w:hAnsi="Verdana" w:cs="Times New Roman"/>
                <w:b/>
                <w:bCs/>
                <w:sz w:val="20"/>
                <w:szCs w:val="20"/>
                <w:lang w:eastAsia="ru-RU"/>
              </w:rPr>
              <w:br/>
              <w:t>период</w:t>
            </w:r>
          </w:p>
        </w:tc>
      </w:tr>
      <w:tr w:rsidR="0076219F" w:rsidRPr="0076219F" w:rsidTr="0076219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Среднегодовая выработка одного работающего, тыс. руб.</w:t>
            </w:r>
          </w:p>
        </w:tc>
        <w:tc>
          <w:tcPr>
            <w:tcW w:w="213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2242,5</w:t>
            </w:r>
          </w:p>
        </w:tc>
        <w:tc>
          <w:tcPr>
            <w:tcW w:w="214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5712,0</w:t>
            </w:r>
          </w:p>
        </w:tc>
      </w:tr>
      <w:tr w:rsidR="0076219F" w:rsidRPr="0076219F" w:rsidTr="0076219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Удельный вес рабочих в общей численности промышленно-производственного персонала</w:t>
            </w:r>
          </w:p>
        </w:tc>
        <w:tc>
          <w:tcPr>
            <w:tcW w:w="213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0,65</w:t>
            </w:r>
          </w:p>
        </w:tc>
        <w:tc>
          <w:tcPr>
            <w:tcW w:w="214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0,85</w:t>
            </w:r>
          </w:p>
        </w:tc>
      </w:tr>
      <w:tr w:rsidR="0076219F" w:rsidRPr="0076219F" w:rsidTr="0076219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 xml:space="preserve">Среднее число дней, отработанных одним рабочим за год, </w:t>
            </w:r>
            <w:proofErr w:type="spellStart"/>
            <w:r w:rsidRPr="0076219F">
              <w:rPr>
                <w:rFonts w:ascii="Verdana" w:eastAsia="Times New Roman" w:hAnsi="Verdana" w:cs="Times New Roman"/>
                <w:sz w:val="20"/>
                <w:szCs w:val="20"/>
                <w:lang w:eastAsia="ru-RU"/>
              </w:rPr>
              <w:t>дн</w:t>
            </w:r>
            <w:proofErr w:type="spellEnd"/>
            <w:r w:rsidRPr="0076219F">
              <w:rPr>
                <w:rFonts w:ascii="Verdana" w:eastAsia="Times New Roman" w:hAnsi="Verdana" w:cs="Times New Roman"/>
                <w:sz w:val="20"/>
                <w:szCs w:val="20"/>
                <w:lang w:eastAsia="ru-RU"/>
              </w:rPr>
              <w:t>.</w:t>
            </w:r>
          </w:p>
        </w:tc>
        <w:tc>
          <w:tcPr>
            <w:tcW w:w="213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230</w:t>
            </w:r>
          </w:p>
        </w:tc>
        <w:tc>
          <w:tcPr>
            <w:tcW w:w="214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240</w:t>
            </w:r>
          </w:p>
        </w:tc>
      </w:tr>
      <w:tr w:rsidR="0076219F" w:rsidRPr="0076219F" w:rsidTr="0076219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Средняя продолжительность рабочего дня, час.</w:t>
            </w:r>
          </w:p>
        </w:tc>
        <w:tc>
          <w:tcPr>
            <w:tcW w:w="213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7,5</w:t>
            </w:r>
          </w:p>
        </w:tc>
        <w:tc>
          <w:tcPr>
            <w:tcW w:w="214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8,0</w:t>
            </w:r>
          </w:p>
        </w:tc>
      </w:tr>
      <w:tr w:rsidR="0076219F" w:rsidRPr="0076219F" w:rsidTr="0076219F">
        <w:trPr>
          <w:tblCellSpacing w:w="15" w:type="dxa"/>
          <w:jc w:val="center"/>
        </w:trPr>
        <w:tc>
          <w:tcPr>
            <w:tcW w:w="696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Среднечасовая выработка одного рабочего, тыс.</w:t>
            </w:r>
            <w:r w:rsidRPr="0076219F">
              <w:rPr>
                <w:rFonts w:ascii="Verdana" w:eastAsia="Times New Roman" w:hAnsi="Verdana" w:cs="Times New Roman"/>
                <w:b/>
                <w:bCs/>
                <w:sz w:val="20"/>
                <w:szCs w:val="20"/>
                <w:lang w:eastAsia="ru-RU"/>
              </w:rPr>
              <w:t> </w:t>
            </w:r>
            <w:r w:rsidRPr="0076219F">
              <w:rPr>
                <w:rFonts w:ascii="Verdana" w:eastAsia="Times New Roman" w:hAnsi="Verdana" w:cs="Times New Roman"/>
                <w:sz w:val="20"/>
                <w:szCs w:val="20"/>
                <w:lang w:eastAsia="ru-RU"/>
              </w:rPr>
              <w:t>руб.</w:t>
            </w:r>
          </w:p>
        </w:tc>
        <w:tc>
          <w:tcPr>
            <w:tcW w:w="213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2,0</w:t>
            </w:r>
          </w:p>
        </w:tc>
        <w:tc>
          <w:tcPr>
            <w:tcW w:w="214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3,5</w:t>
            </w:r>
          </w:p>
        </w:tc>
      </w:tr>
    </w:tbl>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По материалам анализа сделать соответствующие аналитические выводы.</w:t>
      </w:r>
    </w:p>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b/>
          <w:bCs/>
          <w:color w:val="0015AF"/>
          <w:sz w:val="19"/>
          <w:szCs w:val="19"/>
          <w:shd w:val="clear" w:color="auto" w:fill="E8E8E6"/>
          <w:lang w:eastAsia="ru-RU"/>
        </w:rPr>
        <w:t>Задача № 3</w:t>
      </w:r>
    </w:p>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Составить баланс товарной и реализованной продукции за предыдущий и отчетный год на основании следующих данных:</w:t>
      </w:r>
    </w:p>
    <w:tbl>
      <w:tblPr>
        <w:tblW w:w="1137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53"/>
        <w:gridCol w:w="2301"/>
        <w:gridCol w:w="2316"/>
      </w:tblGrid>
      <w:tr w:rsidR="0076219F" w:rsidRPr="0076219F" w:rsidTr="0076219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before="100" w:beforeAutospacing="1" w:after="100" w:afterAutospacing="1"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Наименование показателя</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Предыдущий</w:t>
            </w:r>
            <w:r w:rsidRPr="0076219F">
              <w:rPr>
                <w:rFonts w:ascii="Verdana" w:eastAsia="Times New Roman" w:hAnsi="Verdana" w:cs="Times New Roman"/>
                <w:b/>
                <w:bCs/>
                <w:sz w:val="20"/>
                <w:szCs w:val="20"/>
                <w:lang w:eastAsia="ru-RU"/>
              </w:rPr>
              <w:br/>
              <w:t>год</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Отчетный</w:t>
            </w:r>
            <w:r w:rsidRPr="0076219F">
              <w:rPr>
                <w:rFonts w:ascii="Verdana" w:eastAsia="Times New Roman" w:hAnsi="Verdana" w:cs="Times New Roman"/>
                <w:b/>
                <w:bCs/>
                <w:sz w:val="20"/>
                <w:szCs w:val="20"/>
                <w:lang w:eastAsia="ru-RU"/>
              </w:rPr>
              <w:br/>
              <w:t>год</w:t>
            </w:r>
          </w:p>
        </w:tc>
      </w:tr>
      <w:tr w:rsidR="0076219F" w:rsidRPr="0076219F" w:rsidTr="0076219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Остатки нереализованной продукции на начало года, тыс. руб.</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800</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850</w:t>
            </w:r>
          </w:p>
        </w:tc>
      </w:tr>
      <w:tr w:rsidR="0076219F" w:rsidRPr="0076219F" w:rsidTr="0076219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Остатки нереализованной продукции на конец года, тыс. руб.</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820</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860</w:t>
            </w:r>
          </w:p>
        </w:tc>
      </w:tr>
      <w:tr w:rsidR="0076219F" w:rsidRPr="0076219F" w:rsidTr="0076219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Объем произведенной в течение года товарной продукции, тыс. руб.</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8400</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sz w:val="20"/>
                <w:szCs w:val="20"/>
                <w:lang w:eastAsia="ru-RU"/>
              </w:rPr>
              <w:t>8520</w:t>
            </w:r>
          </w:p>
        </w:tc>
      </w:tr>
      <w:tr w:rsidR="0076219F" w:rsidRPr="0076219F" w:rsidTr="0076219F">
        <w:trPr>
          <w:tblCellSpacing w:w="15" w:type="dxa"/>
          <w:jc w:val="center"/>
        </w:trPr>
        <w:tc>
          <w:tcPr>
            <w:tcW w:w="6690"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Объем реализации, тыс. руб.</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w:t>
            </w:r>
          </w:p>
        </w:tc>
        <w:tc>
          <w:tcPr>
            <w:tcW w:w="2265" w:type="dxa"/>
            <w:tcBorders>
              <w:top w:val="outset" w:sz="6" w:space="0" w:color="auto"/>
              <w:left w:val="outset" w:sz="6" w:space="0" w:color="auto"/>
              <w:bottom w:val="outset" w:sz="6" w:space="0" w:color="auto"/>
              <w:right w:val="outset" w:sz="6" w:space="0" w:color="auto"/>
            </w:tcBorders>
            <w:shd w:val="clear" w:color="auto" w:fill="E8E8E6"/>
            <w:vAlign w:val="center"/>
            <w:hideMark/>
          </w:tcPr>
          <w:p w:rsidR="0076219F" w:rsidRPr="0076219F" w:rsidRDefault="0076219F" w:rsidP="0076219F">
            <w:pPr>
              <w:spacing w:after="0" w:line="240" w:lineRule="auto"/>
              <w:jc w:val="center"/>
              <w:rPr>
                <w:rFonts w:ascii="Verdana" w:eastAsia="Times New Roman" w:hAnsi="Verdana" w:cs="Times New Roman"/>
                <w:sz w:val="19"/>
                <w:szCs w:val="19"/>
                <w:lang w:eastAsia="ru-RU"/>
              </w:rPr>
            </w:pPr>
            <w:r w:rsidRPr="0076219F">
              <w:rPr>
                <w:rFonts w:ascii="Verdana" w:eastAsia="Times New Roman" w:hAnsi="Verdana" w:cs="Times New Roman"/>
                <w:b/>
                <w:bCs/>
                <w:sz w:val="20"/>
                <w:szCs w:val="20"/>
                <w:lang w:eastAsia="ru-RU"/>
              </w:rPr>
              <w:t>?</w:t>
            </w:r>
          </w:p>
        </w:tc>
      </w:tr>
    </w:tbl>
    <w:p w:rsidR="0076219F" w:rsidRPr="0076219F" w:rsidRDefault="0076219F" w:rsidP="0076219F">
      <w:pPr>
        <w:spacing w:before="100" w:beforeAutospacing="1" w:after="100" w:afterAutospacing="1" w:line="240" w:lineRule="auto"/>
        <w:rPr>
          <w:rFonts w:ascii="Verdana" w:eastAsia="Times New Roman" w:hAnsi="Verdana" w:cs="Times New Roman"/>
          <w:color w:val="000000"/>
          <w:sz w:val="19"/>
          <w:szCs w:val="19"/>
          <w:shd w:val="clear" w:color="auto" w:fill="E8E8E6"/>
          <w:lang w:eastAsia="ru-RU"/>
        </w:rPr>
      </w:pPr>
      <w:r w:rsidRPr="0076219F">
        <w:rPr>
          <w:rFonts w:ascii="Verdana" w:eastAsia="Times New Roman" w:hAnsi="Verdana" w:cs="Times New Roman"/>
          <w:color w:val="000000"/>
          <w:sz w:val="19"/>
          <w:szCs w:val="19"/>
          <w:shd w:val="clear" w:color="auto" w:fill="E8E8E6"/>
          <w:lang w:eastAsia="ru-RU"/>
        </w:rPr>
        <w:t>По материалам анализа сделать соответствующие аналитические выводы.</w:t>
      </w:r>
    </w:p>
    <w:p w:rsidR="007F1F33" w:rsidRPr="007F1F33" w:rsidRDefault="007F1F33" w:rsidP="007F1F33">
      <w:pPr>
        <w:shd w:val="clear" w:color="auto" w:fill="F04571"/>
        <w:spacing w:after="0" w:line="240" w:lineRule="auto"/>
        <w:rPr>
          <w:rFonts w:ascii="Verdana" w:eastAsia="Times New Roman" w:hAnsi="Verdana" w:cs="Times New Roman"/>
          <w:b/>
          <w:bCs/>
          <w:color w:val="FFFFFF"/>
          <w:sz w:val="27"/>
          <w:szCs w:val="27"/>
          <w:lang w:eastAsia="ru-RU"/>
        </w:rPr>
      </w:pPr>
      <w:bookmarkStart w:id="4" w:name="3.10."/>
      <w:bookmarkStart w:id="5" w:name="i374"/>
      <w:bookmarkStart w:id="6" w:name="_GoBack"/>
      <w:bookmarkEnd w:id="3"/>
      <w:bookmarkEnd w:id="4"/>
      <w:bookmarkEnd w:id="5"/>
      <w:bookmarkEnd w:id="6"/>
      <w:r w:rsidRPr="007F1F33">
        <w:rPr>
          <w:rFonts w:ascii="Verdana" w:eastAsia="Times New Roman" w:hAnsi="Verdana" w:cs="Times New Roman"/>
          <w:b/>
          <w:bCs/>
          <w:color w:val="FFFFFF"/>
          <w:sz w:val="27"/>
          <w:szCs w:val="27"/>
          <w:lang w:eastAsia="ru-RU"/>
        </w:rPr>
        <w:t>3.11.</w:t>
      </w:r>
    </w:p>
    <w:p w:rsidR="007F1F33" w:rsidRPr="007F1F33" w:rsidRDefault="007F1F33" w:rsidP="007F1F33">
      <w:pPr>
        <w:shd w:val="clear" w:color="auto" w:fill="808080"/>
        <w:spacing w:after="75" w:line="240" w:lineRule="auto"/>
        <w:rPr>
          <w:rFonts w:ascii="Verdana" w:eastAsia="Times New Roman" w:hAnsi="Verdana" w:cs="Times New Roman"/>
          <w:b/>
          <w:bCs/>
          <w:color w:val="FFFFFF"/>
          <w:sz w:val="27"/>
          <w:szCs w:val="27"/>
          <w:lang w:eastAsia="ru-RU"/>
        </w:rPr>
      </w:pPr>
      <w:r w:rsidRPr="007F1F33">
        <w:rPr>
          <w:rFonts w:ascii="Verdana" w:eastAsia="Times New Roman" w:hAnsi="Verdana" w:cs="Times New Roman"/>
          <w:b/>
          <w:bCs/>
          <w:color w:val="FFFFFF"/>
          <w:sz w:val="27"/>
          <w:szCs w:val="27"/>
          <w:lang w:eastAsia="ru-RU"/>
        </w:rPr>
        <w:t>Требования, предъявляемые к оформлению контрольной работы</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bookmarkStart w:id="7" w:name="3.11."/>
      <w:r w:rsidRPr="007F1F33">
        <w:rPr>
          <w:rFonts w:ascii="Verdana" w:eastAsia="Times New Roman" w:hAnsi="Verdana" w:cs="Times New Roman"/>
          <w:color w:val="00008B"/>
          <w:sz w:val="19"/>
          <w:szCs w:val="19"/>
          <w:u w:val="single"/>
          <w:shd w:val="clear" w:color="auto" w:fill="E8E8E6"/>
          <w:lang w:eastAsia="ru-RU"/>
        </w:rPr>
        <w:t>Контрольная работа должна находиться в папке со скоросшивателем. Листы работы не должны быть вставлены в файлы, так как это затрудняет проверку.</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lastRenderedPageBreak/>
        <w:t xml:space="preserve">Текст контрольной работы печатается на стандартных листах формата А4 на компьютере шрифтом гарнитуры </w:t>
      </w:r>
      <w:proofErr w:type="spellStart"/>
      <w:r w:rsidRPr="007F1F33">
        <w:rPr>
          <w:rFonts w:ascii="Verdana" w:eastAsia="Times New Roman" w:hAnsi="Verdana" w:cs="Times New Roman"/>
          <w:color w:val="00008B"/>
          <w:sz w:val="19"/>
          <w:szCs w:val="19"/>
          <w:u w:val="single"/>
          <w:shd w:val="clear" w:color="auto" w:fill="E8E8E6"/>
          <w:lang w:eastAsia="ru-RU"/>
        </w:rPr>
        <w:t>Times</w:t>
      </w:r>
      <w:proofErr w:type="spellEnd"/>
      <w:r w:rsidRPr="007F1F33">
        <w:rPr>
          <w:rFonts w:ascii="Verdana" w:eastAsia="Times New Roman" w:hAnsi="Verdana" w:cs="Times New Roman"/>
          <w:color w:val="00008B"/>
          <w:sz w:val="19"/>
          <w:szCs w:val="19"/>
          <w:u w:val="single"/>
          <w:shd w:val="clear" w:color="auto" w:fill="E8E8E6"/>
          <w:lang w:eastAsia="ru-RU"/>
        </w:rPr>
        <w:t xml:space="preserve"> </w:t>
      </w:r>
      <w:proofErr w:type="spellStart"/>
      <w:r w:rsidRPr="007F1F33">
        <w:rPr>
          <w:rFonts w:ascii="Verdana" w:eastAsia="Times New Roman" w:hAnsi="Verdana" w:cs="Times New Roman"/>
          <w:color w:val="00008B"/>
          <w:sz w:val="19"/>
          <w:szCs w:val="19"/>
          <w:u w:val="single"/>
          <w:shd w:val="clear" w:color="auto" w:fill="E8E8E6"/>
          <w:lang w:eastAsia="ru-RU"/>
        </w:rPr>
        <w:t>New</w:t>
      </w:r>
      <w:proofErr w:type="spellEnd"/>
      <w:r w:rsidRPr="007F1F33">
        <w:rPr>
          <w:rFonts w:ascii="Verdana" w:eastAsia="Times New Roman" w:hAnsi="Verdana" w:cs="Times New Roman"/>
          <w:color w:val="00008B"/>
          <w:sz w:val="19"/>
          <w:szCs w:val="19"/>
          <w:u w:val="single"/>
          <w:shd w:val="clear" w:color="auto" w:fill="E8E8E6"/>
          <w:lang w:eastAsia="ru-RU"/>
        </w:rPr>
        <w:t xml:space="preserve"> </w:t>
      </w:r>
      <w:proofErr w:type="spellStart"/>
      <w:r w:rsidRPr="007F1F33">
        <w:rPr>
          <w:rFonts w:ascii="Verdana" w:eastAsia="Times New Roman" w:hAnsi="Verdana" w:cs="Times New Roman"/>
          <w:color w:val="00008B"/>
          <w:sz w:val="19"/>
          <w:szCs w:val="19"/>
          <w:u w:val="single"/>
          <w:shd w:val="clear" w:color="auto" w:fill="E8E8E6"/>
          <w:lang w:eastAsia="ru-RU"/>
        </w:rPr>
        <w:t>Roman</w:t>
      </w:r>
      <w:proofErr w:type="spellEnd"/>
      <w:r w:rsidRPr="007F1F33">
        <w:rPr>
          <w:rFonts w:ascii="Verdana" w:eastAsia="Times New Roman" w:hAnsi="Verdana" w:cs="Times New Roman"/>
          <w:color w:val="00008B"/>
          <w:sz w:val="19"/>
          <w:szCs w:val="19"/>
          <w:u w:val="single"/>
          <w:shd w:val="clear" w:color="auto" w:fill="E8E8E6"/>
          <w:lang w:eastAsia="ru-RU"/>
        </w:rPr>
        <w:t xml:space="preserve"> кеглем 14 пунктов через 1,5 интервала. Объем контрольной работы составляет 20</w:t>
      </w:r>
      <w:r>
        <w:rPr>
          <w:rFonts w:ascii="Verdana" w:eastAsia="Times New Roman" w:hAnsi="Verdana" w:cs="Times New Roman"/>
          <w:noProof/>
          <w:color w:val="00008B"/>
          <w:sz w:val="19"/>
          <w:szCs w:val="19"/>
          <w:lang w:eastAsia="ru-RU"/>
        </w:rPr>
        <mc:AlternateContent>
          <mc:Choice Requires="wps">
            <w:drawing>
              <wp:inline distT="0" distB="0" distL="0" distR="0">
                <wp:extent cx="304800" cy="304800"/>
                <wp:effectExtent l="0" t="0" r="0" b="0"/>
                <wp:docPr id="1" name="Прямоугольник 1" descr="&lt;?xml version=&quot;1.0&quot;?&gt;&#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lt;?xml version=&quot;1.0&quot;?&gt;&#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Q23Fr9wIA&#10;APsFAAAOAAAAAAAAAAAAAAAAAC4CAABkcnMvZTJvRG9jLnhtbFBLAQItABQABgAIAAAAIQBMoOks&#10;2AAAAAMBAAAPAAAAAAAAAAAAAAAAAFEFAABkcnMvZG93bnJldi54bWxQSwUGAAAAAAQABADzAAAA&#10;VgYAAAAA&#10;" filled="f" stroked="f">
                <o:lock v:ext="edit" aspectratio="t"/>
                <w10:anchorlock/>
              </v:rect>
            </w:pict>
          </mc:Fallback>
        </mc:AlternateContent>
      </w:r>
      <w:r w:rsidRPr="007F1F33">
        <w:rPr>
          <w:rFonts w:ascii="Verdana" w:eastAsia="Times New Roman" w:hAnsi="Verdana" w:cs="Times New Roman"/>
          <w:color w:val="00008B"/>
          <w:sz w:val="19"/>
          <w:szCs w:val="19"/>
          <w:u w:val="single"/>
          <w:shd w:val="clear" w:color="auto" w:fill="E8E8E6"/>
          <w:lang w:eastAsia="ru-RU"/>
        </w:rPr>
        <w:t>30 страниц.</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Текст контрольной работы следует печатать с соблюдением следующего размера полей:</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левое - 30 мм;</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правое - 10 мм;</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верхнее - 20 мм;</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нижнее - 20 мм.</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Величина абзацного отступа - 1,25 сантиметра. Выравнивание текста в пределах абзаца - по ширине. При наборе текста допускается использование функции автоматической расстановки переносов.</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Нумерация страниц контрольной работы производится арабскими цифрами в центре нижней части листа без точки и начинается с титульного листа, но на самом титульном листе номер страницы не проставляется.</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Заголовки структурных элементов контрольной работы «СОДЕРЖАНИЕ», «ВВЕДЕНИЕ», «ЗАКЛЮЧЕНИЕ», «БИБЛИОГРАФИЧЕСКИЙ СПИСОК», «ПРИЛОЖЕНИЯ» печатаются жирным шрифтом прописными буквами и записываются с абзацного отступа с новой страницы. Разделы нумеруются арабскими цифрами (точка после номера раздела не ставится), а их наименование печатается жирным шрифтом прописными буквами с абзацного отступа. Выравнивание заголовков разделов работы следует делать по левому краю. Номера подразделов включают номер раздела и порядковый номер соответствующего подраздела в рамках раздела, разделенные точкой. После номера подраздела перед его заголовком точку не ставят. Заголовки подразделов печатаются строчными буквами, выделяются жирным шрифтом и записываются с абзацного отступа. Выравнивание заголовков подразделов контрольной работы производится по левому краю.</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Иллюстрации в контрольной работе (графики, схемы, диаграммы, чертежи, рисунки) следует располагать непосредственно после текста, в котором они упоминаются впервые, или на следующей странице. Все иллюстрации в работе именуются рисунками. На все имеющиеся в контрольной работе рисунки по тексту работы обязательно должны быть даны ссылки. Рисунки должны иметь сквозную нумерацию в пределах раздела арабскими цифрами. При этом номер рисунка состоит из номера раздела и порядкового номера рисунка, разделенных точкой. Рисунки обязательно должны иметь наименования. Номер рисунка отделяется от его наименования с помощью тире. Номер и наименование помещаются после рисунка и центрируются. Точка в конце наименования рисунка не ставится.</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Таблицы следует располагать непосредственно после текста, в котором они упоминаются впервые, или на следующей странице. Таблицы в контрольной работе следует нумеровать арабскими цифрами в пределах раздела. Номер таблицы в этом случае состоит из номера раздела и порядкового номера таблицы, разделенных точкой. Название таблицы должно отражать её содержание, быть точным и кратким. Название таблицы следует помещать над таблицей слева, без абзацного отступа в одну строку с её номером через тире. Точка в конце таблицы не ставится. При переносе части таблицы на другую страницу слово «Таблица», её номер и название указывают один раз над первой частью таблицы, над другими частями пишут слово «Продолжение» или «Окончание» и указывают номер таблицы. При переносе таблицы на другую страницу заголовок (шапку) таблицы помещают только над её первой частью.</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 xml:space="preserve">Формулы в контрольной работе выделяются из текста отдельной строкой. Пояснение значений символов и числовых коэффициентов следует приводить непосредственно под формулой в той же последовательности, в которой она дана в формуле. Формулы нумеруются арабскими цифрами в пределах раздела контрольной работы. Номер формулы в этом случае состоит из номера раздела и порядкового номера формулы, разделенных точкой, и указывается в круглых скобках в крайнем правом положении на строке. Для корректного набора формул в работе рекомендуется пользоваться специальным редактором формул Microsoft </w:t>
      </w:r>
      <w:proofErr w:type="spellStart"/>
      <w:r w:rsidRPr="007F1F33">
        <w:rPr>
          <w:rFonts w:ascii="Verdana" w:eastAsia="Times New Roman" w:hAnsi="Verdana" w:cs="Times New Roman"/>
          <w:color w:val="00008B"/>
          <w:sz w:val="19"/>
          <w:szCs w:val="19"/>
          <w:u w:val="single"/>
          <w:shd w:val="clear" w:color="auto" w:fill="E8E8E6"/>
          <w:lang w:eastAsia="ru-RU"/>
        </w:rPr>
        <w:t>Equation</w:t>
      </w:r>
      <w:proofErr w:type="spellEnd"/>
      <w:r w:rsidRPr="007F1F33">
        <w:rPr>
          <w:rFonts w:ascii="Verdana" w:eastAsia="Times New Roman" w:hAnsi="Verdana" w:cs="Times New Roman"/>
          <w:color w:val="00008B"/>
          <w:sz w:val="19"/>
          <w:szCs w:val="19"/>
          <w:u w:val="single"/>
          <w:shd w:val="clear" w:color="auto" w:fill="E8E8E6"/>
          <w:lang w:eastAsia="ru-RU"/>
        </w:rPr>
        <w:t xml:space="preserve">, входящим в стандартную поставку программного пакета Microsoft </w:t>
      </w:r>
      <w:proofErr w:type="spellStart"/>
      <w:r w:rsidRPr="007F1F33">
        <w:rPr>
          <w:rFonts w:ascii="Verdana" w:eastAsia="Times New Roman" w:hAnsi="Verdana" w:cs="Times New Roman"/>
          <w:color w:val="00008B"/>
          <w:sz w:val="19"/>
          <w:szCs w:val="19"/>
          <w:u w:val="single"/>
          <w:shd w:val="clear" w:color="auto" w:fill="E8E8E6"/>
          <w:lang w:eastAsia="ru-RU"/>
        </w:rPr>
        <w:t>Office</w:t>
      </w:r>
      <w:proofErr w:type="spellEnd"/>
      <w:r w:rsidRPr="007F1F33">
        <w:rPr>
          <w:rFonts w:ascii="Verdana" w:eastAsia="Times New Roman" w:hAnsi="Verdana" w:cs="Times New Roman"/>
          <w:color w:val="00008B"/>
          <w:sz w:val="19"/>
          <w:szCs w:val="19"/>
          <w:u w:val="single"/>
          <w:shd w:val="clear" w:color="auto" w:fill="E8E8E6"/>
          <w:lang w:eastAsia="ru-RU"/>
        </w:rPr>
        <w:t>.</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 xml:space="preserve">При написании контрольной работы бакалавр обязан делать ссылки на используемые им литературные источники и нормативно-правовой материал. Ссылки на содержащиеся в библиографическом списке источники оформляются </w:t>
      </w:r>
      <w:r w:rsidRPr="007F1F33">
        <w:rPr>
          <w:rFonts w:ascii="Verdana" w:eastAsia="Times New Roman" w:hAnsi="Verdana" w:cs="Times New Roman"/>
          <w:color w:val="00008B"/>
          <w:sz w:val="19"/>
          <w:szCs w:val="19"/>
          <w:u w:val="single"/>
          <w:shd w:val="clear" w:color="auto" w:fill="E8E8E6"/>
          <w:lang w:eastAsia="ru-RU"/>
        </w:rPr>
        <w:lastRenderedPageBreak/>
        <w:t>непосредственно по тексту контрольной работы в квадратных скобках с указанием номера источника в библиографическом списке и страниц, на которых содержится цитируемый материал.</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Работа должна содержать:</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титульный лист;</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содержание;</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введение;</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основная часть;</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заключение;</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библиографический список;</w:t>
      </w:r>
    </w:p>
    <w:p w:rsidR="007F1F33" w:rsidRPr="007F1F33" w:rsidRDefault="007F1F33" w:rsidP="007F1F33">
      <w:pPr>
        <w:numPr>
          <w:ilvl w:val="1"/>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приложения (если есть).</w:t>
      </w:r>
    </w:p>
    <w:p w:rsidR="007F1F33" w:rsidRPr="007F1F33" w:rsidRDefault="007F1F33" w:rsidP="007F1F33">
      <w:pPr>
        <w:numPr>
          <w:ilvl w:val="0"/>
          <w:numId w:val="2"/>
        </w:num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Работа подписывается бакалавром (на титульном листе) напротив своих инициалов перед сдачей её преподавателю.</w:t>
      </w:r>
    </w:p>
    <w:p w:rsidR="007F1F33" w:rsidRPr="007F1F33" w:rsidRDefault="007F1F33" w:rsidP="007F1F33">
      <w:pPr>
        <w:spacing w:before="100" w:beforeAutospacing="1" w:after="100" w:afterAutospacing="1" w:line="240" w:lineRule="auto"/>
        <w:rPr>
          <w:rFonts w:ascii="Verdana" w:eastAsia="Times New Roman" w:hAnsi="Verdana" w:cs="Times New Roman"/>
          <w:color w:val="00008B"/>
          <w:sz w:val="19"/>
          <w:szCs w:val="19"/>
          <w:u w:val="single"/>
          <w:shd w:val="clear" w:color="auto" w:fill="E8E8E6"/>
          <w:lang w:eastAsia="ru-RU"/>
        </w:rPr>
      </w:pPr>
      <w:r w:rsidRPr="007F1F33">
        <w:rPr>
          <w:rFonts w:ascii="Verdana" w:eastAsia="Times New Roman" w:hAnsi="Verdana" w:cs="Times New Roman"/>
          <w:color w:val="00008B"/>
          <w:sz w:val="19"/>
          <w:szCs w:val="19"/>
          <w:u w:val="single"/>
          <w:shd w:val="clear" w:color="auto" w:fill="E8E8E6"/>
          <w:lang w:eastAsia="ru-RU"/>
        </w:rPr>
        <w:t xml:space="preserve">В случае невыполнения требований, предъявляемых к оформлению контрольной работы, преподаватель возвращает бакалавру работу на доработку. Если замечания, сделанные преподавателем, не устранены, то преподаватель имеет право не допустить обучающегося до защиты курсовой работы, сдачи экзамена по дисциплине "Теория учета и экономического анализа </w:t>
      </w:r>
      <w:proofErr w:type="spellStart"/>
      <w:r w:rsidRPr="007F1F33">
        <w:rPr>
          <w:rFonts w:ascii="Verdana" w:eastAsia="Times New Roman" w:hAnsi="Verdana" w:cs="Times New Roman"/>
          <w:color w:val="00008B"/>
          <w:sz w:val="19"/>
          <w:szCs w:val="19"/>
          <w:u w:val="single"/>
          <w:shd w:val="clear" w:color="auto" w:fill="E8E8E6"/>
          <w:lang w:eastAsia="ru-RU"/>
        </w:rPr>
        <w:t>медиаорганизации</w:t>
      </w:r>
      <w:proofErr w:type="spellEnd"/>
      <w:r w:rsidRPr="007F1F33">
        <w:rPr>
          <w:rFonts w:ascii="Verdana" w:eastAsia="Times New Roman" w:hAnsi="Verdana" w:cs="Times New Roman"/>
          <w:color w:val="00008B"/>
          <w:sz w:val="19"/>
          <w:szCs w:val="19"/>
          <w:u w:val="single"/>
          <w:shd w:val="clear" w:color="auto" w:fill="E8E8E6"/>
          <w:lang w:eastAsia="ru-RU"/>
        </w:rPr>
        <w:t>".</w:t>
      </w:r>
    </w:p>
    <w:bookmarkEnd w:id="7"/>
    <w:p w:rsidR="00F773E0" w:rsidRDefault="00F773E0"/>
    <w:sectPr w:rsidR="00F77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E40CC"/>
    <w:multiLevelType w:val="multilevel"/>
    <w:tmpl w:val="2B364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7A5482"/>
    <w:multiLevelType w:val="multilevel"/>
    <w:tmpl w:val="69C6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FE"/>
    <w:rsid w:val="0000144F"/>
    <w:rsid w:val="00001D3D"/>
    <w:rsid w:val="00003200"/>
    <w:rsid w:val="00004AA3"/>
    <w:rsid w:val="00007099"/>
    <w:rsid w:val="000136B5"/>
    <w:rsid w:val="000239EE"/>
    <w:rsid w:val="000418FB"/>
    <w:rsid w:val="00045F15"/>
    <w:rsid w:val="00052EC0"/>
    <w:rsid w:val="00054CD0"/>
    <w:rsid w:val="00057A6D"/>
    <w:rsid w:val="00061D39"/>
    <w:rsid w:val="00067FF9"/>
    <w:rsid w:val="0007695F"/>
    <w:rsid w:val="00077091"/>
    <w:rsid w:val="00080DD9"/>
    <w:rsid w:val="0008125B"/>
    <w:rsid w:val="000850B2"/>
    <w:rsid w:val="00087B6E"/>
    <w:rsid w:val="00093A56"/>
    <w:rsid w:val="000A023D"/>
    <w:rsid w:val="000A0878"/>
    <w:rsid w:val="000A2E88"/>
    <w:rsid w:val="000A536B"/>
    <w:rsid w:val="000A6FF0"/>
    <w:rsid w:val="000D11F6"/>
    <w:rsid w:val="000D183E"/>
    <w:rsid w:val="000D25D0"/>
    <w:rsid w:val="000D3355"/>
    <w:rsid w:val="000E1C0A"/>
    <w:rsid w:val="000F1156"/>
    <w:rsid w:val="000F2C2D"/>
    <w:rsid w:val="000F471E"/>
    <w:rsid w:val="000F79DE"/>
    <w:rsid w:val="001012DA"/>
    <w:rsid w:val="001026CC"/>
    <w:rsid w:val="00120F5B"/>
    <w:rsid w:val="001235B5"/>
    <w:rsid w:val="00123FB0"/>
    <w:rsid w:val="0012616A"/>
    <w:rsid w:val="00131D86"/>
    <w:rsid w:val="00134B1A"/>
    <w:rsid w:val="00141275"/>
    <w:rsid w:val="001426FD"/>
    <w:rsid w:val="0014606F"/>
    <w:rsid w:val="00160C54"/>
    <w:rsid w:val="00160CD8"/>
    <w:rsid w:val="00163038"/>
    <w:rsid w:val="00172BEE"/>
    <w:rsid w:val="00174809"/>
    <w:rsid w:val="00185521"/>
    <w:rsid w:val="00187528"/>
    <w:rsid w:val="00187B51"/>
    <w:rsid w:val="0019152A"/>
    <w:rsid w:val="001A4206"/>
    <w:rsid w:val="001A5A4F"/>
    <w:rsid w:val="001B093D"/>
    <w:rsid w:val="001C0906"/>
    <w:rsid w:val="001C29A2"/>
    <w:rsid w:val="001C33A8"/>
    <w:rsid w:val="001C44DD"/>
    <w:rsid w:val="001D1263"/>
    <w:rsid w:val="001F70C8"/>
    <w:rsid w:val="00202E43"/>
    <w:rsid w:val="00212D79"/>
    <w:rsid w:val="00215B09"/>
    <w:rsid w:val="00216282"/>
    <w:rsid w:val="00221897"/>
    <w:rsid w:val="00223422"/>
    <w:rsid w:val="00230F81"/>
    <w:rsid w:val="0023461F"/>
    <w:rsid w:val="0024100F"/>
    <w:rsid w:val="00242036"/>
    <w:rsid w:val="0024490C"/>
    <w:rsid w:val="00244F0C"/>
    <w:rsid w:val="00245B0C"/>
    <w:rsid w:val="00245F25"/>
    <w:rsid w:val="00246C51"/>
    <w:rsid w:val="00252883"/>
    <w:rsid w:val="00266FC1"/>
    <w:rsid w:val="00270433"/>
    <w:rsid w:val="00277438"/>
    <w:rsid w:val="00277995"/>
    <w:rsid w:val="0028324C"/>
    <w:rsid w:val="00287015"/>
    <w:rsid w:val="002963F1"/>
    <w:rsid w:val="002A5896"/>
    <w:rsid w:val="002A789B"/>
    <w:rsid w:val="002B1AA0"/>
    <w:rsid w:val="002B387E"/>
    <w:rsid w:val="002B567A"/>
    <w:rsid w:val="002B6F3E"/>
    <w:rsid w:val="002C69C3"/>
    <w:rsid w:val="002D11E0"/>
    <w:rsid w:val="002D6616"/>
    <w:rsid w:val="002E47A5"/>
    <w:rsid w:val="002E6503"/>
    <w:rsid w:val="002E79AA"/>
    <w:rsid w:val="002F2355"/>
    <w:rsid w:val="002F2941"/>
    <w:rsid w:val="002F5B05"/>
    <w:rsid w:val="002F6CF7"/>
    <w:rsid w:val="00304631"/>
    <w:rsid w:val="00305FFE"/>
    <w:rsid w:val="00314C5C"/>
    <w:rsid w:val="00317B9E"/>
    <w:rsid w:val="00323E89"/>
    <w:rsid w:val="00324327"/>
    <w:rsid w:val="00325F05"/>
    <w:rsid w:val="00334275"/>
    <w:rsid w:val="00335797"/>
    <w:rsid w:val="00351CAC"/>
    <w:rsid w:val="00361E28"/>
    <w:rsid w:val="003651A0"/>
    <w:rsid w:val="003705D5"/>
    <w:rsid w:val="00371B31"/>
    <w:rsid w:val="00375C8D"/>
    <w:rsid w:val="00376280"/>
    <w:rsid w:val="00376DFF"/>
    <w:rsid w:val="00397227"/>
    <w:rsid w:val="00397B79"/>
    <w:rsid w:val="003A41EF"/>
    <w:rsid w:val="003A48B7"/>
    <w:rsid w:val="003A791F"/>
    <w:rsid w:val="003B7EAC"/>
    <w:rsid w:val="003C1B2E"/>
    <w:rsid w:val="003C4019"/>
    <w:rsid w:val="003C5825"/>
    <w:rsid w:val="003D5407"/>
    <w:rsid w:val="003E0C86"/>
    <w:rsid w:val="003E3634"/>
    <w:rsid w:val="003F03E9"/>
    <w:rsid w:val="003F38D2"/>
    <w:rsid w:val="003F79D3"/>
    <w:rsid w:val="00400BF8"/>
    <w:rsid w:val="00420F8B"/>
    <w:rsid w:val="00421D8B"/>
    <w:rsid w:val="00425E9E"/>
    <w:rsid w:val="00427B30"/>
    <w:rsid w:val="00427DB0"/>
    <w:rsid w:val="004309D4"/>
    <w:rsid w:val="00432916"/>
    <w:rsid w:val="00434F40"/>
    <w:rsid w:val="00435894"/>
    <w:rsid w:val="0044755C"/>
    <w:rsid w:val="00452249"/>
    <w:rsid w:val="00452914"/>
    <w:rsid w:val="00464409"/>
    <w:rsid w:val="004700A6"/>
    <w:rsid w:val="00470DAB"/>
    <w:rsid w:val="00471591"/>
    <w:rsid w:val="00472D94"/>
    <w:rsid w:val="00490838"/>
    <w:rsid w:val="004A0A0A"/>
    <w:rsid w:val="004A2017"/>
    <w:rsid w:val="004A2FAE"/>
    <w:rsid w:val="004A5BB1"/>
    <w:rsid w:val="004B435F"/>
    <w:rsid w:val="004B45B9"/>
    <w:rsid w:val="004B580B"/>
    <w:rsid w:val="004B77D7"/>
    <w:rsid w:val="004B7E5A"/>
    <w:rsid w:val="004C2C88"/>
    <w:rsid w:val="004C5402"/>
    <w:rsid w:val="004D0806"/>
    <w:rsid w:val="004D18C1"/>
    <w:rsid w:val="004E59CF"/>
    <w:rsid w:val="004F0DDF"/>
    <w:rsid w:val="005007FE"/>
    <w:rsid w:val="0050119B"/>
    <w:rsid w:val="00504F44"/>
    <w:rsid w:val="00507D0C"/>
    <w:rsid w:val="00510966"/>
    <w:rsid w:val="00513489"/>
    <w:rsid w:val="00513995"/>
    <w:rsid w:val="00523461"/>
    <w:rsid w:val="0052443B"/>
    <w:rsid w:val="00537C0D"/>
    <w:rsid w:val="005414F2"/>
    <w:rsid w:val="00541B3B"/>
    <w:rsid w:val="00542536"/>
    <w:rsid w:val="00543021"/>
    <w:rsid w:val="005557BA"/>
    <w:rsid w:val="00557C11"/>
    <w:rsid w:val="00560690"/>
    <w:rsid w:val="00561E38"/>
    <w:rsid w:val="00571728"/>
    <w:rsid w:val="005746B3"/>
    <w:rsid w:val="00574F47"/>
    <w:rsid w:val="005814FE"/>
    <w:rsid w:val="005816B1"/>
    <w:rsid w:val="00584C27"/>
    <w:rsid w:val="005868D5"/>
    <w:rsid w:val="005942DE"/>
    <w:rsid w:val="00595B88"/>
    <w:rsid w:val="005A173E"/>
    <w:rsid w:val="005A246D"/>
    <w:rsid w:val="005A4FEE"/>
    <w:rsid w:val="005A7EF5"/>
    <w:rsid w:val="005B4034"/>
    <w:rsid w:val="005B7B0D"/>
    <w:rsid w:val="005C1E43"/>
    <w:rsid w:val="005C3741"/>
    <w:rsid w:val="005C5B25"/>
    <w:rsid w:val="005D0E8A"/>
    <w:rsid w:val="005D6600"/>
    <w:rsid w:val="005E215C"/>
    <w:rsid w:val="005E3EFA"/>
    <w:rsid w:val="005F2A2B"/>
    <w:rsid w:val="005F77AB"/>
    <w:rsid w:val="006021F6"/>
    <w:rsid w:val="00604F56"/>
    <w:rsid w:val="006220FC"/>
    <w:rsid w:val="0062278E"/>
    <w:rsid w:val="00632102"/>
    <w:rsid w:val="006405CE"/>
    <w:rsid w:val="00646557"/>
    <w:rsid w:val="00652806"/>
    <w:rsid w:val="006563CE"/>
    <w:rsid w:val="00656502"/>
    <w:rsid w:val="006634DA"/>
    <w:rsid w:val="00663F26"/>
    <w:rsid w:val="00673449"/>
    <w:rsid w:val="006748FE"/>
    <w:rsid w:val="0067691C"/>
    <w:rsid w:val="00677D09"/>
    <w:rsid w:val="00683156"/>
    <w:rsid w:val="006A1F76"/>
    <w:rsid w:val="006A2F55"/>
    <w:rsid w:val="006A63E8"/>
    <w:rsid w:val="006B070A"/>
    <w:rsid w:val="006B60C0"/>
    <w:rsid w:val="006C0851"/>
    <w:rsid w:val="006C1A1F"/>
    <w:rsid w:val="006C6CDB"/>
    <w:rsid w:val="006D1812"/>
    <w:rsid w:val="006D3380"/>
    <w:rsid w:val="006E7CFA"/>
    <w:rsid w:val="006F41B5"/>
    <w:rsid w:val="007013D2"/>
    <w:rsid w:val="007021DF"/>
    <w:rsid w:val="00705CAF"/>
    <w:rsid w:val="00714046"/>
    <w:rsid w:val="00715C5A"/>
    <w:rsid w:val="0071735D"/>
    <w:rsid w:val="00717FFC"/>
    <w:rsid w:val="007201DC"/>
    <w:rsid w:val="00720BAA"/>
    <w:rsid w:val="00723E70"/>
    <w:rsid w:val="0073350C"/>
    <w:rsid w:val="00734FC6"/>
    <w:rsid w:val="0074514B"/>
    <w:rsid w:val="00746182"/>
    <w:rsid w:val="00752261"/>
    <w:rsid w:val="00753E02"/>
    <w:rsid w:val="00755F06"/>
    <w:rsid w:val="0076219F"/>
    <w:rsid w:val="00762ED2"/>
    <w:rsid w:val="007655BC"/>
    <w:rsid w:val="00780676"/>
    <w:rsid w:val="007833D5"/>
    <w:rsid w:val="007838DC"/>
    <w:rsid w:val="00785519"/>
    <w:rsid w:val="007952A1"/>
    <w:rsid w:val="007A1457"/>
    <w:rsid w:val="007C0C01"/>
    <w:rsid w:val="007C6B65"/>
    <w:rsid w:val="007D41A9"/>
    <w:rsid w:val="007D45A8"/>
    <w:rsid w:val="007E3E4D"/>
    <w:rsid w:val="007F1F33"/>
    <w:rsid w:val="007F37E0"/>
    <w:rsid w:val="0080007D"/>
    <w:rsid w:val="0080221B"/>
    <w:rsid w:val="00803A13"/>
    <w:rsid w:val="00810F25"/>
    <w:rsid w:val="0081701A"/>
    <w:rsid w:val="00817D4E"/>
    <w:rsid w:val="00820045"/>
    <w:rsid w:val="008329A0"/>
    <w:rsid w:val="00832D5C"/>
    <w:rsid w:val="0083466C"/>
    <w:rsid w:val="00837539"/>
    <w:rsid w:val="00844C28"/>
    <w:rsid w:val="00845AF8"/>
    <w:rsid w:val="00852DB8"/>
    <w:rsid w:val="00853D59"/>
    <w:rsid w:val="00854FC8"/>
    <w:rsid w:val="00861B86"/>
    <w:rsid w:val="0086365E"/>
    <w:rsid w:val="00864B6A"/>
    <w:rsid w:val="008759B4"/>
    <w:rsid w:val="00875E7C"/>
    <w:rsid w:val="008779FD"/>
    <w:rsid w:val="00884A77"/>
    <w:rsid w:val="008866CC"/>
    <w:rsid w:val="00890F7D"/>
    <w:rsid w:val="00893F6C"/>
    <w:rsid w:val="00897596"/>
    <w:rsid w:val="008B36F1"/>
    <w:rsid w:val="008B3DBA"/>
    <w:rsid w:val="008B4D9F"/>
    <w:rsid w:val="008E400E"/>
    <w:rsid w:val="008E5097"/>
    <w:rsid w:val="008F03A1"/>
    <w:rsid w:val="008F5875"/>
    <w:rsid w:val="008F6679"/>
    <w:rsid w:val="008F69FB"/>
    <w:rsid w:val="00900578"/>
    <w:rsid w:val="009025E4"/>
    <w:rsid w:val="00903617"/>
    <w:rsid w:val="00907507"/>
    <w:rsid w:val="0092674B"/>
    <w:rsid w:val="009307E8"/>
    <w:rsid w:val="009313A6"/>
    <w:rsid w:val="00933336"/>
    <w:rsid w:val="009430FD"/>
    <w:rsid w:val="00946BC9"/>
    <w:rsid w:val="00952B91"/>
    <w:rsid w:val="00954A66"/>
    <w:rsid w:val="009567B2"/>
    <w:rsid w:val="009611FE"/>
    <w:rsid w:val="009635CA"/>
    <w:rsid w:val="00970ADF"/>
    <w:rsid w:val="00973836"/>
    <w:rsid w:val="009742B6"/>
    <w:rsid w:val="009816C3"/>
    <w:rsid w:val="009A72E5"/>
    <w:rsid w:val="009B299C"/>
    <w:rsid w:val="009B6399"/>
    <w:rsid w:val="009C2215"/>
    <w:rsid w:val="009D27A0"/>
    <w:rsid w:val="009D4B06"/>
    <w:rsid w:val="009E042A"/>
    <w:rsid w:val="009F1858"/>
    <w:rsid w:val="009F188E"/>
    <w:rsid w:val="009F19E5"/>
    <w:rsid w:val="00A01904"/>
    <w:rsid w:val="00A05C3A"/>
    <w:rsid w:val="00A073A5"/>
    <w:rsid w:val="00A10C0A"/>
    <w:rsid w:val="00A128F8"/>
    <w:rsid w:val="00A136DB"/>
    <w:rsid w:val="00A2032A"/>
    <w:rsid w:val="00A22C20"/>
    <w:rsid w:val="00A22D5B"/>
    <w:rsid w:val="00A23DC5"/>
    <w:rsid w:val="00A24BAD"/>
    <w:rsid w:val="00A251B6"/>
    <w:rsid w:val="00A26FE4"/>
    <w:rsid w:val="00A3778C"/>
    <w:rsid w:val="00A52F95"/>
    <w:rsid w:val="00A53B57"/>
    <w:rsid w:val="00A67108"/>
    <w:rsid w:val="00A67AAA"/>
    <w:rsid w:val="00A71D5B"/>
    <w:rsid w:val="00A814B4"/>
    <w:rsid w:val="00A85107"/>
    <w:rsid w:val="00A97FEE"/>
    <w:rsid w:val="00AA1F00"/>
    <w:rsid w:val="00AB1090"/>
    <w:rsid w:val="00AB2F63"/>
    <w:rsid w:val="00AB3AD8"/>
    <w:rsid w:val="00AB40F6"/>
    <w:rsid w:val="00AB524B"/>
    <w:rsid w:val="00AB5A56"/>
    <w:rsid w:val="00AC109D"/>
    <w:rsid w:val="00AD17CD"/>
    <w:rsid w:val="00AD7ADF"/>
    <w:rsid w:val="00AE24B8"/>
    <w:rsid w:val="00AE2DB6"/>
    <w:rsid w:val="00AF0A74"/>
    <w:rsid w:val="00AF2856"/>
    <w:rsid w:val="00B02CD9"/>
    <w:rsid w:val="00B11911"/>
    <w:rsid w:val="00B14327"/>
    <w:rsid w:val="00B305C6"/>
    <w:rsid w:val="00B335B4"/>
    <w:rsid w:val="00B37236"/>
    <w:rsid w:val="00B403B1"/>
    <w:rsid w:val="00B42B7B"/>
    <w:rsid w:val="00B43BF4"/>
    <w:rsid w:val="00B5360E"/>
    <w:rsid w:val="00B54C1D"/>
    <w:rsid w:val="00B55507"/>
    <w:rsid w:val="00B64B74"/>
    <w:rsid w:val="00B73F10"/>
    <w:rsid w:val="00B753AC"/>
    <w:rsid w:val="00B820B6"/>
    <w:rsid w:val="00B86698"/>
    <w:rsid w:val="00B91E1A"/>
    <w:rsid w:val="00B93CD4"/>
    <w:rsid w:val="00B96E7B"/>
    <w:rsid w:val="00BA1296"/>
    <w:rsid w:val="00BA7064"/>
    <w:rsid w:val="00BA717D"/>
    <w:rsid w:val="00BB27F7"/>
    <w:rsid w:val="00BC082F"/>
    <w:rsid w:val="00BC7C2E"/>
    <w:rsid w:val="00BD7F84"/>
    <w:rsid w:val="00BE1D51"/>
    <w:rsid w:val="00BF4DE2"/>
    <w:rsid w:val="00BF5C23"/>
    <w:rsid w:val="00BF6C07"/>
    <w:rsid w:val="00C07E68"/>
    <w:rsid w:val="00C11D08"/>
    <w:rsid w:val="00C12B1F"/>
    <w:rsid w:val="00C20024"/>
    <w:rsid w:val="00C32FC7"/>
    <w:rsid w:val="00C4086D"/>
    <w:rsid w:val="00C42C40"/>
    <w:rsid w:val="00C51C9A"/>
    <w:rsid w:val="00C728E4"/>
    <w:rsid w:val="00C90900"/>
    <w:rsid w:val="00C90B7A"/>
    <w:rsid w:val="00C92DEB"/>
    <w:rsid w:val="00C97396"/>
    <w:rsid w:val="00CA06E6"/>
    <w:rsid w:val="00CA4F42"/>
    <w:rsid w:val="00CA74D4"/>
    <w:rsid w:val="00CD7E05"/>
    <w:rsid w:val="00CE468D"/>
    <w:rsid w:val="00CE4D93"/>
    <w:rsid w:val="00CE785A"/>
    <w:rsid w:val="00CF7434"/>
    <w:rsid w:val="00D138D0"/>
    <w:rsid w:val="00D21692"/>
    <w:rsid w:val="00D25910"/>
    <w:rsid w:val="00D27AB1"/>
    <w:rsid w:val="00D309EE"/>
    <w:rsid w:val="00D354C6"/>
    <w:rsid w:val="00D42F32"/>
    <w:rsid w:val="00D4443F"/>
    <w:rsid w:val="00D56441"/>
    <w:rsid w:val="00D569A9"/>
    <w:rsid w:val="00D617B5"/>
    <w:rsid w:val="00D648C7"/>
    <w:rsid w:val="00D70080"/>
    <w:rsid w:val="00D85D6B"/>
    <w:rsid w:val="00D90818"/>
    <w:rsid w:val="00DC59CF"/>
    <w:rsid w:val="00DD09E1"/>
    <w:rsid w:val="00DE610B"/>
    <w:rsid w:val="00DF30A2"/>
    <w:rsid w:val="00DF3100"/>
    <w:rsid w:val="00E02B3D"/>
    <w:rsid w:val="00E03BBA"/>
    <w:rsid w:val="00E05777"/>
    <w:rsid w:val="00E269BF"/>
    <w:rsid w:val="00E3289D"/>
    <w:rsid w:val="00E46920"/>
    <w:rsid w:val="00E54FCA"/>
    <w:rsid w:val="00E61C97"/>
    <w:rsid w:val="00E6260A"/>
    <w:rsid w:val="00E62632"/>
    <w:rsid w:val="00E65DAC"/>
    <w:rsid w:val="00E72545"/>
    <w:rsid w:val="00E72E6C"/>
    <w:rsid w:val="00E742E1"/>
    <w:rsid w:val="00E80636"/>
    <w:rsid w:val="00E84887"/>
    <w:rsid w:val="00E85684"/>
    <w:rsid w:val="00EA05B7"/>
    <w:rsid w:val="00EA0F60"/>
    <w:rsid w:val="00EB46EF"/>
    <w:rsid w:val="00EB65F3"/>
    <w:rsid w:val="00EC0BA5"/>
    <w:rsid w:val="00EC2B89"/>
    <w:rsid w:val="00ED392D"/>
    <w:rsid w:val="00EE1F13"/>
    <w:rsid w:val="00EE3077"/>
    <w:rsid w:val="00EF17C8"/>
    <w:rsid w:val="00EF2077"/>
    <w:rsid w:val="00EF6507"/>
    <w:rsid w:val="00F00876"/>
    <w:rsid w:val="00F10002"/>
    <w:rsid w:val="00F15DDF"/>
    <w:rsid w:val="00F17895"/>
    <w:rsid w:val="00F21534"/>
    <w:rsid w:val="00F22369"/>
    <w:rsid w:val="00F23055"/>
    <w:rsid w:val="00F26443"/>
    <w:rsid w:val="00F32EDE"/>
    <w:rsid w:val="00F3397A"/>
    <w:rsid w:val="00F3540E"/>
    <w:rsid w:val="00F35825"/>
    <w:rsid w:val="00F4098A"/>
    <w:rsid w:val="00F47693"/>
    <w:rsid w:val="00F53544"/>
    <w:rsid w:val="00F53CEB"/>
    <w:rsid w:val="00F54B34"/>
    <w:rsid w:val="00F63216"/>
    <w:rsid w:val="00F707CF"/>
    <w:rsid w:val="00F72CCB"/>
    <w:rsid w:val="00F7432D"/>
    <w:rsid w:val="00F773E0"/>
    <w:rsid w:val="00F85C11"/>
    <w:rsid w:val="00F90F5F"/>
    <w:rsid w:val="00F95AD7"/>
    <w:rsid w:val="00FA2288"/>
    <w:rsid w:val="00FA26A4"/>
    <w:rsid w:val="00FA74FD"/>
    <w:rsid w:val="00FA7676"/>
    <w:rsid w:val="00FC7408"/>
    <w:rsid w:val="00FE23A2"/>
    <w:rsid w:val="00FE2A9E"/>
    <w:rsid w:val="00FE5175"/>
    <w:rsid w:val="00FE787A"/>
    <w:rsid w:val="00FF155F"/>
    <w:rsid w:val="00FF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2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ыделение"/>
    <w:basedOn w:val="a0"/>
    <w:rsid w:val="007621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21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выделение"/>
    <w:basedOn w:val="a0"/>
    <w:rsid w:val="0076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93022">
      <w:bodyDiv w:val="1"/>
      <w:marLeft w:val="0"/>
      <w:marRight w:val="0"/>
      <w:marTop w:val="0"/>
      <w:marBottom w:val="0"/>
      <w:divBdr>
        <w:top w:val="none" w:sz="0" w:space="0" w:color="auto"/>
        <w:left w:val="none" w:sz="0" w:space="0" w:color="auto"/>
        <w:bottom w:val="none" w:sz="0" w:space="0" w:color="auto"/>
        <w:right w:val="none" w:sz="0" w:space="0" w:color="auto"/>
      </w:divBdr>
      <w:divsChild>
        <w:div w:id="1019157410">
          <w:marLeft w:val="0"/>
          <w:marRight w:val="0"/>
          <w:marTop w:val="0"/>
          <w:marBottom w:val="75"/>
          <w:divBdr>
            <w:top w:val="none" w:sz="0" w:space="0" w:color="auto"/>
            <w:left w:val="none" w:sz="0" w:space="0" w:color="auto"/>
            <w:bottom w:val="none" w:sz="0" w:space="0" w:color="auto"/>
            <w:right w:val="none" w:sz="0" w:space="0" w:color="auto"/>
          </w:divBdr>
          <w:divsChild>
            <w:div w:id="802424023">
              <w:marLeft w:val="0"/>
              <w:marRight w:val="0"/>
              <w:marTop w:val="0"/>
              <w:marBottom w:val="0"/>
              <w:divBdr>
                <w:top w:val="none" w:sz="0" w:space="0" w:color="auto"/>
                <w:left w:val="none" w:sz="0" w:space="0" w:color="auto"/>
                <w:bottom w:val="none" w:sz="0" w:space="0" w:color="auto"/>
                <w:right w:val="none" w:sz="0" w:space="0" w:color="auto"/>
              </w:divBdr>
              <w:divsChild>
                <w:div w:id="1673799703">
                  <w:marLeft w:val="0"/>
                  <w:marRight w:val="0"/>
                  <w:marTop w:val="0"/>
                  <w:marBottom w:val="0"/>
                  <w:divBdr>
                    <w:top w:val="none" w:sz="0" w:space="0" w:color="auto"/>
                    <w:left w:val="none" w:sz="0" w:space="0" w:color="auto"/>
                    <w:bottom w:val="none" w:sz="0" w:space="0" w:color="auto"/>
                    <w:right w:val="none" w:sz="0" w:space="0" w:color="auto"/>
                  </w:divBdr>
                </w:div>
                <w:div w:id="18051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7232">
      <w:bodyDiv w:val="1"/>
      <w:marLeft w:val="0"/>
      <w:marRight w:val="0"/>
      <w:marTop w:val="0"/>
      <w:marBottom w:val="0"/>
      <w:divBdr>
        <w:top w:val="none" w:sz="0" w:space="0" w:color="auto"/>
        <w:left w:val="none" w:sz="0" w:space="0" w:color="auto"/>
        <w:bottom w:val="none" w:sz="0" w:space="0" w:color="auto"/>
        <w:right w:val="none" w:sz="0" w:space="0" w:color="auto"/>
      </w:divBdr>
      <w:divsChild>
        <w:div w:id="1266425878">
          <w:marLeft w:val="0"/>
          <w:marRight w:val="0"/>
          <w:marTop w:val="0"/>
          <w:marBottom w:val="75"/>
          <w:divBdr>
            <w:top w:val="none" w:sz="0" w:space="0" w:color="auto"/>
            <w:left w:val="none" w:sz="0" w:space="0" w:color="auto"/>
            <w:bottom w:val="none" w:sz="0" w:space="0" w:color="auto"/>
            <w:right w:val="none" w:sz="0" w:space="0" w:color="auto"/>
          </w:divBdr>
          <w:divsChild>
            <w:div w:id="42171773">
              <w:marLeft w:val="0"/>
              <w:marRight w:val="0"/>
              <w:marTop w:val="0"/>
              <w:marBottom w:val="0"/>
              <w:divBdr>
                <w:top w:val="none" w:sz="0" w:space="0" w:color="auto"/>
                <w:left w:val="none" w:sz="0" w:space="0" w:color="auto"/>
                <w:bottom w:val="none" w:sz="0" w:space="0" w:color="auto"/>
                <w:right w:val="none" w:sz="0" w:space="0" w:color="auto"/>
              </w:divBdr>
              <w:divsChild>
                <w:div w:id="64763413">
                  <w:marLeft w:val="0"/>
                  <w:marRight w:val="0"/>
                  <w:marTop w:val="0"/>
                  <w:marBottom w:val="0"/>
                  <w:divBdr>
                    <w:top w:val="none" w:sz="0" w:space="0" w:color="auto"/>
                    <w:left w:val="none" w:sz="0" w:space="0" w:color="auto"/>
                    <w:bottom w:val="none" w:sz="0" w:space="0" w:color="auto"/>
                    <w:right w:val="none" w:sz="0" w:space="0" w:color="auto"/>
                  </w:divBdr>
                </w:div>
                <w:div w:id="14035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239">
          <w:marLeft w:val="0"/>
          <w:marRight w:val="0"/>
          <w:marTop w:val="0"/>
          <w:marBottom w:val="0"/>
          <w:divBdr>
            <w:top w:val="none" w:sz="0" w:space="0" w:color="auto"/>
            <w:left w:val="none" w:sz="0" w:space="0" w:color="auto"/>
            <w:bottom w:val="none" w:sz="0" w:space="0" w:color="auto"/>
            <w:right w:val="none" w:sz="0" w:space="0" w:color="auto"/>
          </w:divBdr>
        </w:div>
        <w:div w:id="1419012034">
          <w:marLeft w:val="0"/>
          <w:marRight w:val="0"/>
          <w:marTop w:val="0"/>
          <w:marBottom w:val="0"/>
          <w:divBdr>
            <w:top w:val="none" w:sz="0" w:space="0" w:color="auto"/>
            <w:left w:val="none" w:sz="0" w:space="0" w:color="auto"/>
            <w:bottom w:val="none" w:sz="0" w:space="0" w:color="auto"/>
            <w:right w:val="none" w:sz="0" w:space="0" w:color="auto"/>
          </w:divBdr>
        </w:div>
      </w:divsChild>
    </w:div>
    <w:div w:id="13352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2018-06-04T12:13:00Z</dcterms:created>
  <dcterms:modified xsi:type="dcterms:W3CDTF">2018-06-04T12:17:00Z</dcterms:modified>
</cp:coreProperties>
</file>